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Паспорт практики наставничества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68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3555"/>
        <w:gridCol w:w="6134"/>
      </w:tblGrid>
      <w:tr>
        <w:trPr>
          <w:trHeight w:val="610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Наименование практики наставничества (далее – практика)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265"/>
              <w:jc w:val="both"/>
              <w:rPr>
                <w:rFonts w:ascii="Times New Roman" w:hAnsi="Times New Roman" w:eastAsia="Times New Roman"/>
                <w:bCs/>
                <w:i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«Математический калейдоскоп»</w:t>
            </w:r>
          </w:p>
        </w:tc>
      </w:tr>
      <w:tr>
        <w:trPr>
          <w:trHeight w:val="289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Образовательная организация, где реализовалась практика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«Миленинская основная общеобразовательная школа» Фатежского района Курской области</w:t>
            </w:r>
          </w:p>
        </w:tc>
      </w:tr>
      <w:tr>
        <w:trPr>
          <w:trHeight w:val="289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Форма наставничества, в рамках которой реализована практика, целевая аудитория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«Ученик - ученик»</w:t>
            </w:r>
          </w:p>
        </w:tc>
      </w:tr>
      <w:tr>
        <w:trPr>
          <w:trHeight w:val="1304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Задачи целевой модели наставничества, на реализацию которых направлена практика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</w:t>
            </w:r>
          </w:p>
        </w:tc>
      </w:tr>
      <w:tr>
        <w:trPr>
          <w:trHeight w:val="397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Цель и задачи практики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Цель наставничества: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максимально полное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потенциала личности наставляемого, необходимого  для успешной личной 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самореализации, для достижения образовательного результата  и формирования метакомпетенций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через учебно – исследовательскую  и проектную деятельность.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1)</w:t>
            </w:r>
            <w:r>
              <w:rPr>
                <w:rFonts w:ascii="Times New Roman" w:hAnsi="Times New Roman"/>
                <w:sz w:val="24"/>
                <w:szCs w:val="24"/>
              </w:rPr>
              <w:t>раскрыть потенциал каждого наставляемого, способствовать осознанию им своего образовательного и личностного потенциала;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2)способствовать осознанному выбору наставляемым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дальнейших траекторий обучения;  повысить мотивацию наставляемых к обучению и улучшению образовательных результатов посредством участия в проектной и исследовательской деятельности, в школьном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научном обществе, в конкурсных мероприятиях; обеспечить формирование и развитие гибких навыков,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метакомпетенций как основы успешной самостоятельной и ответственной деятельности в современном мире;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 формировать творческую инициативу учащихся,  развивать интерес  к деятельности  наставников и в будущем проявить себя в роли наставника;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4) активно вовлекать учащихся в совместную деятельность: «ученик – ученик»:</w:t>
            </w:r>
          </w:p>
        </w:tc>
      </w:tr>
      <w:tr>
        <w:trPr>
          <w:trHeight w:val="650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Условия для внедрения практики (в т.ч. социальное партнёрство в системе наставничества ОО)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Желание и заинтересованность  всех участников процесса принимать активное участие в творческой деятельности. В школе налажено  межпредметное взаимодействие  между  учащимися и  учителями.</w:t>
            </w:r>
          </w:p>
        </w:tc>
      </w:tr>
      <w:tr>
        <w:trPr>
          <w:trHeight w:val="397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Уникальность практики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Уникальность практики состоит в том, что наставничество реализуется  в рамках «ученик – ученик»   начиная с 8 класса и сопровождается до 9 класса  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возможностью  продолжения  выполнения учебно-исследовательских проектов обучающимися в рамках непрерывного образования «школа — вуз».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пространственной среды в школе, стимулирующей   развитие исследовательского типа мышления у обучающихся.</w:t>
            </w:r>
          </w:p>
        </w:tc>
      </w:tr>
      <w:tr>
        <w:trPr>
          <w:trHeight w:val="857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Необходимые ресурсы (финансовые, кадровые, материально-технические, методические и др.) для реализации практики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финансовые: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наличие куратора практики, сопровождение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педагога – психолога, учителя предметника.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Материально – технические  ресурсы: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Коллекции, таблицы, модели.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Мультимедийная установка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Многофункциональное устройство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Комплект чертежных инструментов (классных и раздаточных): линейка, транспортир, угольник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(30°, 60°, 90°), угольник (45°, 90°), циркуль.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Интерактивная доска, ноутбуки, Образовательные Интернет – ресурсы. Цифровая лаборатория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Relion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по химии, биологии, физиологии, физике.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 М.В. Половкова, А. В. Носов и др. Индивидуальный проект. 10 – 11  классы , М.,  «Просвещение», 2023 – 159.</w:t>
            </w:r>
          </w:p>
        </w:tc>
      </w:tr>
      <w:tr>
        <w:trPr>
          <w:trHeight w:val="1103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Технология реализации практики: этапы, основные мероприятия, методики, педагогический и методический инструментарий в рамках каждого из этапов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 Создание благоприятных условий  для запуска программы наставничества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Формирование базы наставляемых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0" w:before="0"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Формирование базы наставников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по формированию базы из числа обучающихся, мотивированных помочь сверстникам в образовательных,  творческих и адаптационных вопросах.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Отбор и обучение наставников.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Анкетирование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Собеседование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Формирование наставнических пар.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Провести общую встречу с участием  наставников и  наставляемых.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Основной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основной концепции  работы наставника с наставляемым.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Подготовка  и выполнение учебно - исследовательских работ и  проектов, инструкций.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конкурсах муниципальных, региональных.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7.Завершающий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Результаты  работы над проектами и УИР: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презентация и защита реализованных  проектов;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конкурсах и фестивалях разного уровня;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степени удовлетворённости и результативности  работы модели наставничества «ученик  – ученик»;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популяризация проектной деятельности в рамках преемственности: основная, старшая школа-начальная школа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Анкета наставляемого после завершения работы.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Анкета наставника после завершения работы.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Рефлексия.</w:t>
            </w:r>
          </w:p>
        </w:tc>
      </w:tr>
      <w:tr>
        <w:trPr>
          <w:trHeight w:val="340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Результаты и эффекты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практики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- изменения, которые влечёт за собой реализация практики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Результаты практики для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личности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 развитие коммуникативных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навыков, реализация интеллектуального и творческого потенциала, формирование уверенности в себе, личностный рост.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Индивидуальные достижения учащихся в конкурсах, фестивалях, смотрах, олимпиадах.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Мотивация  наставляемых в профессиональном самоопределении.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Результаты практики  для образовательной  организации: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 показателей  качества обучения;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привлечение обучающихся к проектно-исследовательской деятельности;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создание условий для личностного развития каждого ребенка; формирование активной жизненной позиции.</w:t>
            </w:r>
          </w:p>
        </w:tc>
      </w:tr>
      <w:tr>
        <w:trPr>
          <w:trHeight w:val="354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Низкая мотивация  учащихся.</w:t>
            </w:r>
          </w:p>
        </w:tc>
      </w:tr>
      <w:tr>
        <w:trPr>
          <w:trHeight w:val="340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Контакты лиц(а), ответственных за взаимодействие по вопросам реализации практики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Шумакова Кристина Сергеевна, заместитель директора по УВР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Эл. почта: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makhova-96@inbox.ru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 8 960 695 79 20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4443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ru-RU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f84443"/>
    <w:rPr>
      <w:color w:val="0000FF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8444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LibreOffice/7.5.0.3$Windows_X86_64 LibreOffice_project/c21113d003cd3efa8c53188764377a8272d9d6de</Application>
  <AppVersion>15.0000</AppVersion>
  <Pages>3</Pages>
  <Words>604</Words>
  <Characters>4771</Characters>
  <CharactersWithSpaces>5355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2024-12-04T17:29:00Z</dcterms:created>
  <dc:creator>Пользователь</dc:creator>
  <dc:description/>
  <dc:language>ru-RU</dc:language>
  <cp:lastModifiedBy/>
  <dcterms:modified xsi:type="dcterms:W3CDTF">2024-12-04T20:58:19Z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